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90/2026/RatsgartenStadtmauer-L2/VOB-öA</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Gestaltung des Ratsgarten und Sanierung der angrenzenden Stadtmauer; Los 2 - Landschaftsbauarbeiten</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 xml:space="preserve">Die Leistungen umfassen die gesamte Baustelleneinrichtung, die Herstellung einer Treppenanlage, gepflasterte Wege, Vegetationsflächen einschließlich Fertigstellungspflege. Der Garten ist ca. 1.000 m2 groß und in drei Terrassen unterteilt, wobei der Zugang zum "Goldenen Saal" barrierefrei herzustellen ist. </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